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F2DA" w14:textId="7DC423CA" w:rsidR="00694DC6" w:rsidRDefault="00E04DA1">
      <w:r>
        <w:rPr>
          <w:noProof/>
          <w:lang w:eastAsia="en-GB"/>
        </w:rPr>
        <w:drawing>
          <wp:inline distT="0" distB="0" distL="0" distR="0" wp14:anchorId="689DE50E" wp14:editId="0C6940DA">
            <wp:extent cx="1999615" cy="1238250"/>
            <wp:effectExtent l="0" t="0" r="63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cstate="print">
                      <a:extLst>
                        <a:ext uri="{28A0092B-C50C-407E-A947-70E740481C1C}">
                          <a14:useLocalDpi xmlns:a14="http://schemas.microsoft.com/office/drawing/2010/main" val="0"/>
                        </a:ext>
                      </a:extLst>
                    </a:blip>
                    <a:srcRect r="8105"/>
                    <a:stretch/>
                  </pic:blipFill>
                  <pic:spPr bwMode="auto">
                    <a:xfrm>
                      <a:off x="0" y="0"/>
                      <a:ext cx="1999615" cy="1238250"/>
                    </a:xfrm>
                    <a:prstGeom prst="rect">
                      <a:avLst/>
                    </a:prstGeom>
                    <a:ln>
                      <a:noFill/>
                    </a:ln>
                    <a:extLst>
                      <a:ext uri="{53640926-AAD7-44D8-BBD7-CCE9431645EC}">
                        <a14:shadowObscured xmlns:a14="http://schemas.microsoft.com/office/drawing/2010/main"/>
                      </a:ext>
                    </a:extLst>
                  </pic:spPr>
                </pic:pic>
              </a:graphicData>
            </a:graphic>
          </wp:inline>
        </w:drawing>
      </w:r>
    </w:p>
    <w:p w14:paraId="581E8104" w14:textId="77777777" w:rsidR="00694DC6" w:rsidRPr="00DE4928" w:rsidRDefault="00694DC6">
      <w:pPr>
        <w:rPr>
          <w:color w:val="404040"/>
        </w:rPr>
      </w:pPr>
    </w:p>
    <w:tbl>
      <w:tblPr>
        <w:tblW w:w="0" w:type="auto"/>
        <w:tblBorders>
          <w:top w:val="single" w:sz="4" w:space="0" w:color="7F7F7F"/>
          <w:bottom w:val="single" w:sz="4" w:space="0" w:color="7F7F7F"/>
        </w:tblBorders>
        <w:tblLook w:val="04A0" w:firstRow="1" w:lastRow="0" w:firstColumn="1" w:lastColumn="0" w:noHBand="0" w:noVBand="1"/>
      </w:tblPr>
      <w:tblGrid>
        <w:gridCol w:w="9026"/>
      </w:tblGrid>
      <w:tr w:rsidR="00460A37" w:rsidRPr="00DE4928" w14:paraId="64708591" w14:textId="77777777" w:rsidTr="000D0363">
        <w:trPr>
          <w:trHeight w:val="567"/>
        </w:trPr>
        <w:tc>
          <w:tcPr>
            <w:tcW w:w="9242" w:type="dxa"/>
            <w:tcBorders>
              <w:bottom w:val="single" w:sz="4" w:space="0" w:color="7F7F7F"/>
            </w:tcBorders>
            <w:vAlign w:val="center"/>
          </w:tcPr>
          <w:p w14:paraId="25485EFB" w14:textId="657A8DE5" w:rsidR="00694DC6" w:rsidRPr="007908D9" w:rsidRDefault="00C25CD5" w:rsidP="00F94BA4">
            <w:pPr>
              <w:pStyle w:val="Header"/>
              <w:spacing w:after="40"/>
              <w:rPr>
                <w:rFonts w:ascii="Century Gothic" w:hAnsi="Century Gothic" w:cs="Calibri Light"/>
                <w:b w:val="0"/>
                <w:color w:val="404040"/>
                <w:sz w:val="23"/>
                <w:szCs w:val="23"/>
                <w:lang w:val="en-US"/>
              </w:rPr>
            </w:pPr>
            <w:r>
              <w:rPr>
                <w:rFonts w:ascii="Century Gothic" w:hAnsi="Century Gothic" w:cs="Calibri Light"/>
                <w:b w:val="0"/>
                <w:color w:val="404040"/>
                <w:sz w:val="23"/>
                <w:szCs w:val="23"/>
                <w:lang w:val="en-US"/>
              </w:rPr>
              <w:t>Modern Slavery Statement</w:t>
            </w:r>
          </w:p>
        </w:tc>
      </w:tr>
    </w:tbl>
    <w:p w14:paraId="430ED5FE" w14:textId="48640A20" w:rsidR="00FD368E" w:rsidRPr="00FD368E" w:rsidRDefault="00FD368E" w:rsidP="00FD368E">
      <w:pPr>
        <w:rPr>
          <w:rFonts w:ascii="Calibri Light" w:hAnsi="Calibri Light" w:cs="Calibri Light"/>
          <w:color w:val="404040"/>
          <w:sz w:val="23"/>
          <w:szCs w:val="23"/>
        </w:rPr>
      </w:pPr>
    </w:p>
    <w:p w14:paraId="11FAB7CC" w14:textId="4A908772"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r>
        <w:rPr>
          <w:rFonts w:ascii="Calibri Light" w:eastAsia="Times New Roman" w:hAnsi="Calibri Light" w:cs="Calibri Light"/>
          <w:b/>
          <w:bCs/>
          <w:color w:val="404040" w:themeColor="text1" w:themeTint="BF"/>
          <w:sz w:val="23"/>
          <w:szCs w:val="23"/>
          <w:lang w:eastAsia="en-GB"/>
        </w:rPr>
        <w:t>Introduction</w:t>
      </w:r>
    </w:p>
    <w:p w14:paraId="5A69B891" w14:textId="01BC896D" w:rsidR="00C25CD5" w:rsidRDefault="00E04DA1" w:rsidP="00C25CD5">
      <w:pPr>
        <w:spacing w:after="40"/>
        <w:rPr>
          <w:rFonts w:ascii="Calibri Light" w:eastAsia="Times New Roman" w:hAnsi="Calibri Light" w:cs="Calibri Light"/>
          <w:color w:val="404040" w:themeColor="text1" w:themeTint="BF"/>
          <w:sz w:val="23"/>
          <w:szCs w:val="23"/>
          <w:lang w:eastAsia="en-GB"/>
        </w:rPr>
      </w:pPr>
      <w:r>
        <w:rPr>
          <w:rFonts w:ascii="Calibri Light" w:eastAsia="Times New Roman" w:hAnsi="Calibri Light" w:cs="Calibri Light"/>
          <w:color w:val="404040" w:themeColor="text1" w:themeTint="BF"/>
          <w:sz w:val="23"/>
          <w:szCs w:val="23"/>
          <w:lang w:eastAsia="en-GB"/>
        </w:rPr>
        <w:t>PTL Logistic Services</w:t>
      </w:r>
      <w:r w:rsidR="00C25CD5">
        <w:rPr>
          <w:rFonts w:ascii="Calibri Light" w:eastAsia="Times New Roman" w:hAnsi="Calibri Light" w:cs="Calibri Light"/>
          <w:color w:val="404040" w:themeColor="text1" w:themeTint="BF"/>
          <w:sz w:val="23"/>
          <w:szCs w:val="23"/>
          <w:lang w:eastAsia="en-GB"/>
        </w:rPr>
        <w:t xml:space="preserve"> Ltd</w:t>
      </w:r>
      <w:r w:rsidR="00C25CD5" w:rsidRPr="00C25CD5">
        <w:rPr>
          <w:rFonts w:ascii="Calibri Light" w:eastAsia="Times New Roman" w:hAnsi="Calibri Light" w:cs="Calibri Light"/>
          <w:color w:val="404040" w:themeColor="text1" w:themeTint="BF"/>
          <w:sz w:val="23"/>
          <w:szCs w:val="23"/>
          <w:lang w:eastAsia="en-GB"/>
        </w:rPr>
        <w:t xml:space="preserve"> is committed to preventing acts of modern slavery and human trafficking from occurring within its business and supply chain, and imposes the same high standards on its suppliers. Slavery and human trafficking is an issue which can affect global businesses. Recognising this, </w:t>
      </w:r>
      <w:r>
        <w:rPr>
          <w:rFonts w:ascii="Calibri Light" w:eastAsia="Times New Roman" w:hAnsi="Calibri Light" w:cs="Calibri Light"/>
          <w:color w:val="404040" w:themeColor="text1" w:themeTint="BF"/>
          <w:sz w:val="23"/>
          <w:szCs w:val="23"/>
          <w:lang w:eastAsia="en-GB"/>
        </w:rPr>
        <w:t>PTL Logistic Services Ltd</w:t>
      </w:r>
      <w:r w:rsidR="00C25CD5" w:rsidRPr="00C25CD5">
        <w:rPr>
          <w:rFonts w:ascii="Calibri Light" w:eastAsia="Times New Roman" w:hAnsi="Calibri Light" w:cs="Calibri Light"/>
          <w:color w:val="404040" w:themeColor="text1" w:themeTint="BF"/>
          <w:sz w:val="23"/>
          <w:szCs w:val="23"/>
          <w:lang w:eastAsia="en-GB"/>
        </w:rPr>
        <w:t xml:space="preserve"> makes every effort to ensure each employee remains vigilant against the associated risks in our business and in the wider supply chain, regardless of the size of the threat. We have implemented appropriate measures across the business to ensure best practice around issues with pose a threat to human rights. It is expected that all of our colleagues report incidents of concern, and these are then addressed appropriately by our management team.</w:t>
      </w:r>
    </w:p>
    <w:p w14:paraId="5ADC2DD3"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p>
    <w:p w14:paraId="24DA7A01"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b/>
          <w:bCs/>
          <w:color w:val="404040" w:themeColor="text1" w:themeTint="BF"/>
          <w:sz w:val="23"/>
          <w:szCs w:val="23"/>
          <w:lang w:eastAsia="en-GB"/>
        </w:rPr>
        <w:t>Structure of the Organisation</w:t>
      </w:r>
    </w:p>
    <w:p w14:paraId="6C873E58" w14:textId="7AF61069" w:rsidR="00C25CD5" w:rsidRDefault="00E04DA1" w:rsidP="00C25CD5">
      <w:pPr>
        <w:spacing w:after="40"/>
        <w:rPr>
          <w:rFonts w:ascii="Calibri Light" w:eastAsia="Times New Roman" w:hAnsi="Calibri Light" w:cs="Calibri Light"/>
          <w:color w:val="404040" w:themeColor="text1" w:themeTint="BF"/>
          <w:sz w:val="23"/>
          <w:szCs w:val="23"/>
          <w:lang w:eastAsia="en-GB"/>
        </w:rPr>
      </w:pPr>
      <w:r>
        <w:rPr>
          <w:rFonts w:ascii="Calibri Light" w:eastAsia="Times New Roman" w:hAnsi="Calibri Light" w:cs="Calibri Light"/>
          <w:color w:val="404040"/>
          <w:sz w:val="23"/>
          <w:szCs w:val="23"/>
          <w:lang w:eastAsia="en-GB"/>
        </w:rPr>
        <w:t>PTL Logistic Services Ltd</w:t>
      </w:r>
      <w:r w:rsidR="0012280C" w:rsidRPr="0012280C">
        <w:rPr>
          <w:rFonts w:ascii="Calibri Light" w:eastAsia="Times New Roman" w:hAnsi="Calibri Light" w:cs="Calibri Light"/>
          <w:color w:val="404040"/>
          <w:sz w:val="23"/>
          <w:szCs w:val="23"/>
          <w:lang w:eastAsia="en-GB"/>
        </w:rPr>
        <w:t xml:space="preserve"> </w:t>
      </w:r>
      <w:r w:rsidR="00C25CD5" w:rsidRPr="00C25CD5">
        <w:rPr>
          <w:rFonts w:ascii="Calibri Light" w:eastAsia="Times New Roman" w:hAnsi="Calibri Light" w:cs="Calibri Light"/>
          <w:color w:val="404040" w:themeColor="text1" w:themeTint="BF"/>
          <w:sz w:val="23"/>
          <w:szCs w:val="23"/>
          <w:lang w:eastAsia="en-GB"/>
        </w:rPr>
        <w:t xml:space="preserve">is an award-winning </w:t>
      </w:r>
      <w:r w:rsidR="0012280C">
        <w:rPr>
          <w:rFonts w:ascii="Calibri Light" w:eastAsia="Times New Roman" w:hAnsi="Calibri Light" w:cs="Calibri Light"/>
          <w:color w:val="404040" w:themeColor="text1" w:themeTint="BF"/>
          <w:sz w:val="23"/>
          <w:szCs w:val="23"/>
          <w:lang w:eastAsia="en-GB"/>
        </w:rPr>
        <w:t>temporary recruitment</w:t>
      </w:r>
      <w:r w:rsidR="00C25CD5" w:rsidRPr="00C25CD5">
        <w:rPr>
          <w:rFonts w:ascii="Calibri Light" w:eastAsia="Times New Roman" w:hAnsi="Calibri Light" w:cs="Calibri Light"/>
          <w:color w:val="404040" w:themeColor="text1" w:themeTint="BF"/>
          <w:sz w:val="23"/>
          <w:szCs w:val="23"/>
          <w:lang w:eastAsia="en-GB"/>
        </w:rPr>
        <w:t xml:space="preserve"> specialist in the </w:t>
      </w:r>
      <w:r w:rsidR="0012280C">
        <w:rPr>
          <w:rFonts w:ascii="Calibri Light" w:eastAsia="Times New Roman" w:hAnsi="Calibri Light" w:cs="Calibri Light"/>
          <w:color w:val="404040" w:themeColor="text1" w:themeTint="BF"/>
          <w:sz w:val="23"/>
          <w:szCs w:val="23"/>
          <w:lang w:eastAsia="en-GB"/>
        </w:rPr>
        <w:t>construction</w:t>
      </w:r>
      <w:r w:rsidR="00C25CD5" w:rsidRPr="00C25CD5">
        <w:rPr>
          <w:rFonts w:ascii="Calibri Light" w:eastAsia="Times New Roman" w:hAnsi="Calibri Light" w:cs="Calibri Light"/>
          <w:color w:val="404040" w:themeColor="text1" w:themeTint="BF"/>
          <w:sz w:val="23"/>
          <w:szCs w:val="23"/>
          <w:lang w:eastAsia="en-GB"/>
        </w:rPr>
        <w:t xml:space="preserve"> sector. We work primar</w:t>
      </w:r>
      <w:r w:rsidR="0012280C">
        <w:rPr>
          <w:rFonts w:ascii="Calibri Light" w:eastAsia="Times New Roman" w:hAnsi="Calibri Light" w:cs="Calibri Light"/>
          <w:color w:val="404040" w:themeColor="text1" w:themeTint="BF"/>
          <w:sz w:val="23"/>
          <w:szCs w:val="23"/>
          <w:lang w:eastAsia="en-GB"/>
        </w:rPr>
        <w:t>ily in the UK and employ 5</w:t>
      </w:r>
      <w:r w:rsidR="00C25CD5" w:rsidRPr="00C25CD5">
        <w:rPr>
          <w:rFonts w:ascii="Calibri Light" w:eastAsia="Times New Roman" w:hAnsi="Calibri Light" w:cs="Calibri Light"/>
          <w:color w:val="404040" w:themeColor="text1" w:themeTint="BF"/>
          <w:sz w:val="23"/>
          <w:szCs w:val="23"/>
          <w:lang w:eastAsia="en-GB"/>
        </w:rPr>
        <w:t xml:space="preserve"> recruitment specialists in our London </w:t>
      </w:r>
      <w:r w:rsidR="0012280C">
        <w:rPr>
          <w:rFonts w:ascii="Calibri Light" w:eastAsia="Times New Roman" w:hAnsi="Calibri Light" w:cs="Calibri Light"/>
          <w:color w:val="404040" w:themeColor="text1" w:themeTint="BF"/>
          <w:sz w:val="23"/>
          <w:szCs w:val="23"/>
          <w:lang w:eastAsia="en-GB"/>
        </w:rPr>
        <w:t>office</w:t>
      </w:r>
      <w:r w:rsidR="00C25CD5" w:rsidRPr="00C25CD5">
        <w:rPr>
          <w:rFonts w:ascii="Calibri Light" w:eastAsia="Times New Roman" w:hAnsi="Calibri Light" w:cs="Calibri Light"/>
          <w:color w:val="404040" w:themeColor="text1" w:themeTint="BF"/>
          <w:sz w:val="23"/>
          <w:szCs w:val="23"/>
          <w:lang w:eastAsia="en-GB"/>
        </w:rPr>
        <w:t xml:space="preserve">. </w:t>
      </w:r>
      <w:r w:rsidR="0012280C" w:rsidRPr="0012280C">
        <w:rPr>
          <w:rFonts w:ascii="Calibri Light" w:eastAsia="Times New Roman" w:hAnsi="Calibri Light" w:cs="Calibri Light"/>
          <w:color w:val="404040"/>
          <w:sz w:val="23"/>
          <w:szCs w:val="23"/>
          <w:lang w:eastAsia="en-GB"/>
        </w:rPr>
        <w:t xml:space="preserve">Paramount Trades &amp; Labour </w:t>
      </w:r>
      <w:r w:rsidR="00C25CD5" w:rsidRPr="00C25CD5">
        <w:rPr>
          <w:rFonts w:ascii="Calibri Light" w:eastAsia="Times New Roman" w:hAnsi="Calibri Light" w:cs="Calibri Light"/>
          <w:color w:val="404040" w:themeColor="text1" w:themeTint="BF"/>
          <w:sz w:val="23"/>
          <w:szCs w:val="23"/>
          <w:lang w:eastAsia="en-GB"/>
        </w:rPr>
        <w:t>works to improve standards in the recruitment industry and stands for the best in specialist, professional and proactive recruitment.</w:t>
      </w:r>
    </w:p>
    <w:p w14:paraId="0AFBE2C7"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p>
    <w:p w14:paraId="1B6FA8D6"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b/>
          <w:bCs/>
          <w:color w:val="404040" w:themeColor="text1" w:themeTint="BF"/>
          <w:sz w:val="23"/>
          <w:szCs w:val="23"/>
          <w:lang w:eastAsia="en-GB"/>
        </w:rPr>
        <w:t>Supply Chain Overview</w:t>
      </w:r>
    </w:p>
    <w:p w14:paraId="25ACDEC1" w14:textId="526E8619" w:rsid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t xml:space="preserve">The recruitment sector’s supply chain can be complex particularly for international engagements. </w:t>
      </w:r>
      <w:r w:rsidR="00E04DA1">
        <w:rPr>
          <w:rFonts w:ascii="Calibri Light" w:eastAsia="Times New Roman" w:hAnsi="Calibri Light" w:cs="Calibri Light"/>
          <w:color w:val="404040" w:themeColor="text1" w:themeTint="BF"/>
          <w:sz w:val="23"/>
          <w:szCs w:val="23"/>
          <w:lang w:eastAsia="en-GB"/>
        </w:rPr>
        <w:t>PTL Logistic Services Ltd</w:t>
      </w:r>
      <w:r w:rsidR="00D44C32" w:rsidRPr="00C25CD5">
        <w:rPr>
          <w:rFonts w:ascii="Calibri Light" w:eastAsia="Times New Roman" w:hAnsi="Calibri Light" w:cs="Calibri Light"/>
          <w:color w:val="404040" w:themeColor="text1" w:themeTint="BF"/>
          <w:sz w:val="23"/>
          <w:szCs w:val="23"/>
          <w:lang w:eastAsia="en-GB"/>
        </w:rPr>
        <w:t xml:space="preserve"> </w:t>
      </w:r>
      <w:r w:rsidR="00D44C32">
        <w:rPr>
          <w:rFonts w:ascii="Calibri Light" w:eastAsia="Times New Roman" w:hAnsi="Calibri Light" w:cs="Calibri Light"/>
          <w:color w:val="404040" w:themeColor="text1" w:themeTint="BF"/>
          <w:sz w:val="23"/>
          <w:szCs w:val="23"/>
          <w:lang w:eastAsia="en-GB"/>
        </w:rPr>
        <w:t xml:space="preserve">predominantly </w:t>
      </w:r>
      <w:r w:rsidRPr="00C25CD5">
        <w:rPr>
          <w:rFonts w:ascii="Calibri Light" w:eastAsia="Times New Roman" w:hAnsi="Calibri Light" w:cs="Calibri Light"/>
          <w:color w:val="404040" w:themeColor="text1" w:themeTint="BF"/>
          <w:sz w:val="23"/>
          <w:szCs w:val="23"/>
          <w:lang w:eastAsia="en-GB"/>
        </w:rPr>
        <w:t xml:space="preserve">works in the UK on UK-based assignments, minimising this risk. We work with a supply chain that </w:t>
      </w:r>
      <w:r w:rsidR="00D44C32">
        <w:rPr>
          <w:rFonts w:ascii="Calibri Light" w:eastAsia="Times New Roman" w:hAnsi="Calibri Light" w:cs="Calibri Light"/>
          <w:color w:val="404040" w:themeColor="text1" w:themeTint="BF"/>
          <w:sz w:val="23"/>
          <w:szCs w:val="23"/>
          <w:lang w:eastAsia="en-GB"/>
        </w:rPr>
        <w:t>includes contractors, suppliers and</w:t>
      </w:r>
      <w:r w:rsidRPr="00C25CD5">
        <w:rPr>
          <w:rFonts w:ascii="Calibri Light" w:eastAsia="Times New Roman" w:hAnsi="Calibri Light" w:cs="Calibri Light"/>
          <w:color w:val="404040" w:themeColor="text1" w:themeTint="BF"/>
          <w:sz w:val="23"/>
          <w:szCs w:val="23"/>
          <w:lang w:eastAsia="en-GB"/>
        </w:rPr>
        <w:t xml:space="preserve"> professional consu</w:t>
      </w:r>
      <w:r w:rsidR="00D44C32">
        <w:rPr>
          <w:rFonts w:ascii="Calibri Light" w:eastAsia="Times New Roman" w:hAnsi="Calibri Light" w:cs="Calibri Light"/>
          <w:color w:val="404040" w:themeColor="text1" w:themeTint="BF"/>
          <w:sz w:val="23"/>
          <w:szCs w:val="23"/>
          <w:lang w:eastAsia="en-GB"/>
        </w:rPr>
        <w:t>ltants</w:t>
      </w:r>
      <w:r w:rsidRPr="00C25CD5">
        <w:rPr>
          <w:rFonts w:ascii="Calibri Light" w:eastAsia="Times New Roman" w:hAnsi="Calibri Light" w:cs="Calibri Light"/>
          <w:color w:val="404040" w:themeColor="text1" w:themeTint="BF"/>
          <w:sz w:val="23"/>
          <w:szCs w:val="23"/>
          <w:lang w:eastAsia="en-GB"/>
        </w:rPr>
        <w:t xml:space="preserve">. </w:t>
      </w:r>
      <w:r w:rsidR="00E04DA1">
        <w:rPr>
          <w:rFonts w:ascii="Calibri Light" w:eastAsia="Times New Roman" w:hAnsi="Calibri Light" w:cs="Calibri Light"/>
          <w:color w:val="404040" w:themeColor="text1" w:themeTint="BF"/>
          <w:sz w:val="23"/>
          <w:szCs w:val="23"/>
          <w:lang w:eastAsia="en-GB"/>
        </w:rPr>
        <w:t>PTL Logistic Services Ltd</w:t>
      </w:r>
      <w:r w:rsidR="00D44C32" w:rsidRPr="00C25CD5">
        <w:rPr>
          <w:rFonts w:ascii="Calibri Light" w:eastAsia="Times New Roman" w:hAnsi="Calibri Light" w:cs="Calibri Light"/>
          <w:color w:val="404040" w:themeColor="text1" w:themeTint="BF"/>
          <w:sz w:val="23"/>
          <w:szCs w:val="23"/>
          <w:lang w:eastAsia="en-GB"/>
        </w:rPr>
        <w:t xml:space="preserve"> </w:t>
      </w:r>
      <w:r w:rsidRPr="00C25CD5">
        <w:rPr>
          <w:rFonts w:ascii="Calibri Light" w:eastAsia="Times New Roman" w:hAnsi="Calibri Light" w:cs="Calibri Light"/>
          <w:color w:val="404040" w:themeColor="text1" w:themeTint="BF"/>
          <w:sz w:val="23"/>
          <w:szCs w:val="23"/>
          <w:lang w:eastAsia="en-GB"/>
        </w:rPr>
        <w:t>are committed to effectively managing their supply chain to ensure human rights are wholly respected.</w:t>
      </w:r>
    </w:p>
    <w:p w14:paraId="7C861F68"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p>
    <w:p w14:paraId="73EA50C0"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b/>
          <w:bCs/>
          <w:color w:val="404040" w:themeColor="text1" w:themeTint="BF"/>
          <w:sz w:val="23"/>
          <w:szCs w:val="23"/>
          <w:lang w:eastAsia="en-GB"/>
        </w:rPr>
        <w:t>Supply Chain Standards and Process</w:t>
      </w:r>
    </w:p>
    <w:p w14:paraId="7F28D041" w14:textId="68CC6165" w:rsid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t>As part of our commitment to combating modern slavery</w:t>
      </w:r>
      <w:r w:rsidR="00E04DA1">
        <w:rPr>
          <w:rFonts w:ascii="Calibri Light" w:eastAsia="Times New Roman" w:hAnsi="Calibri Light" w:cs="Calibri Light"/>
          <w:color w:val="404040" w:themeColor="text1" w:themeTint="BF"/>
          <w:sz w:val="23"/>
          <w:szCs w:val="23"/>
          <w:lang w:eastAsia="en-GB"/>
        </w:rPr>
        <w:t xml:space="preserve"> PTL Logistic Services Ltd</w:t>
      </w:r>
      <w:r w:rsidR="00D50668" w:rsidRPr="00C25CD5">
        <w:rPr>
          <w:rFonts w:ascii="Calibri Light" w:eastAsia="Times New Roman" w:hAnsi="Calibri Light" w:cs="Calibri Light"/>
          <w:color w:val="404040" w:themeColor="text1" w:themeTint="BF"/>
          <w:sz w:val="23"/>
          <w:szCs w:val="23"/>
          <w:lang w:eastAsia="en-GB"/>
        </w:rPr>
        <w:t xml:space="preserve"> </w:t>
      </w:r>
      <w:r w:rsidRPr="00C25CD5">
        <w:rPr>
          <w:rFonts w:ascii="Calibri Light" w:eastAsia="Times New Roman" w:hAnsi="Calibri Light" w:cs="Calibri Light"/>
          <w:color w:val="404040" w:themeColor="text1" w:themeTint="BF"/>
          <w:sz w:val="23"/>
          <w:szCs w:val="23"/>
          <w:lang w:eastAsia="en-GB"/>
        </w:rPr>
        <w:t xml:space="preserve">regularly evaluates the nature and extent of its exposure to the risk of modern slavery occurring in its supply chain. In our standard terms of business with both candidates &amp; clients, </w:t>
      </w:r>
      <w:r w:rsidR="00E04DA1">
        <w:rPr>
          <w:rFonts w:ascii="Calibri Light" w:eastAsia="Times New Roman" w:hAnsi="Calibri Light" w:cs="Calibri Light"/>
          <w:color w:val="404040" w:themeColor="text1" w:themeTint="BF"/>
          <w:sz w:val="23"/>
          <w:szCs w:val="23"/>
          <w:lang w:eastAsia="en-GB"/>
        </w:rPr>
        <w:t>PTL Logistic Services</w:t>
      </w:r>
      <w:r w:rsidR="00D50668" w:rsidRPr="00C25CD5">
        <w:rPr>
          <w:rFonts w:ascii="Calibri Light" w:eastAsia="Times New Roman" w:hAnsi="Calibri Light" w:cs="Calibri Light"/>
          <w:color w:val="404040" w:themeColor="text1" w:themeTint="BF"/>
          <w:sz w:val="23"/>
          <w:szCs w:val="23"/>
          <w:lang w:eastAsia="en-GB"/>
        </w:rPr>
        <w:t xml:space="preserve"> </w:t>
      </w:r>
      <w:r w:rsidRPr="00C25CD5">
        <w:rPr>
          <w:rFonts w:ascii="Calibri Light" w:eastAsia="Times New Roman" w:hAnsi="Calibri Light" w:cs="Calibri Light"/>
          <w:color w:val="404040" w:themeColor="text1" w:themeTint="BF"/>
          <w:sz w:val="23"/>
          <w:szCs w:val="23"/>
          <w:lang w:eastAsia="en-GB"/>
        </w:rPr>
        <w:t>conveys its commitment to the prevention of slavery and human trafficking.</w:t>
      </w:r>
    </w:p>
    <w:p w14:paraId="5353FC45" w14:textId="03C15F13" w:rsidR="00D50668" w:rsidRPr="00C25CD5" w:rsidRDefault="00D50668" w:rsidP="00C25CD5">
      <w:pPr>
        <w:spacing w:after="40"/>
        <w:rPr>
          <w:rFonts w:ascii="Calibri Light" w:eastAsia="Times New Roman" w:hAnsi="Calibri Light" w:cs="Calibri Light"/>
          <w:color w:val="404040" w:themeColor="text1" w:themeTint="BF"/>
          <w:sz w:val="23"/>
          <w:szCs w:val="23"/>
          <w:lang w:eastAsia="en-GB"/>
        </w:rPr>
      </w:pPr>
    </w:p>
    <w:p w14:paraId="7B011DB4" w14:textId="747B4C96"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t xml:space="preserve">Prior to conducting business with any client or third party company, appropriate due diligence and compliance checks are completed to ensure no relationship is formed with parties who have a history of transgressions around human trafficking and modern slavery. Furthermore, any parties in </w:t>
      </w:r>
      <w:r w:rsidR="00E04DA1">
        <w:rPr>
          <w:rFonts w:ascii="Calibri Light" w:eastAsia="Times New Roman" w:hAnsi="Calibri Light" w:cs="Calibri Light"/>
          <w:color w:val="404040" w:themeColor="text1" w:themeTint="BF"/>
          <w:sz w:val="23"/>
          <w:szCs w:val="23"/>
          <w:lang w:eastAsia="en-GB"/>
        </w:rPr>
        <w:t>PTL Logistic Services Ltd’s</w:t>
      </w:r>
      <w:r w:rsidR="00A81F9D" w:rsidRPr="00C25CD5">
        <w:rPr>
          <w:rFonts w:ascii="Calibri Light" w:eastAsia="Times New Roman" w:hAnsi="Calibri Light" w:cs="Calibri Light"/>
          <w:color w:val="404040" w:themeColor="text1" w:themeTint="BF"/>
          <w:sz w:val="23"/>
          <w:szCs w:val="23"/>
          <w:lang w:eastAsia="en-GB"/>
        </w:rPr>
        <w:t xml:space="preserve"> </w:t>
      </w:r>
      <w:r w:rsidRPr="00C25CD5">
        <w:rPr>
          <w:rFonts w:ascii="Calibri Light" w:eastAsia="Times New Roman" w:hAnsi="Calibri Light" w:cs="Calibri Light"/>
          <w:color w:val="404040" w:themeColor="text1" w:themeTint="BF"/>
          <w:sz w:val="23"/>
          <w:szCs w:val="23"/>
          <w:lang w:eastAsia="en-GB"/>
        </w:rPr>
        <w:t>supply chain who are subsequently discovered as having partaken in such offences have their business relationship terminated without notice or delay.</w:t>
      </w:r>
    </w:p>
    <w:p w14:paraId="74DD83B7"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t>Our due diligence procedures are designed to:</w:t>
      </w:r>
    </w:p>
    <w:p w14:paraId="7112F119" w14:textId="77777777" w:rsidR="00C25CD5" w:rsidRPr="00C25CD5" w:rsidRDefault="00C25CD5" w:rsidP="00C25CD5">
      <w:pPr>
        <w:numPr>
          <w:ilvl w:val="0"/>
          <w:numId w:val="24"/>
        </w:num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t>Establish and assess areas of potential risk in our business and supply chains</w:t>
      </w:r>
    </w:p>
    <w:p w14:paraId="7EB84264" w14:textId="77777777" w:rsidR="00C25CD5" w:rsidRPr="00C25CD5" w:rsidRDefault="00C25CD5" w:rsidP="00C25CD5">
      <w:pPr>
        <w:numPr>
          <w:ilvl w:val="0"/>
          <w:numId w:val="24"/>
        </w:num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t>Monitor potential risk areas in our business and supply chains</w:t>
      </w:r>
    </w:p>
    <w:p w14:paraId="7DD7EF55" w14:textId="77777777" w:rsidR="00C25CD5" w:rsidRPr="00C25CD5" w:rsidRDefault="00C25CD5" w:rsidP="00C25CD5">
      <w:pPr>
        <w:numPr>
          <w:ilvl w:val="0"/>
          <w:numId w:val="24"/>
        </w:num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lastRenderedPageBreak/>
        <w:t>Reduce the risk of slavery and human trafficking occurring in our business and supply chains</w:t>
      </w:r>
    </w:p>
    <w:p w14:paraId="60059D91" w14:textId="5D3229EC" w:rsidR="00C25CD5" w:rsidRDefault="00C25CD5" w:rsidP="00C25CD5">
      <w:pPr>
        <w:numPr>
          <w:ilvl w:val="0"/>
          <w:numId w:val="24"/>
        </w:num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t xml:space="preserve">Provide adequate protection for </w:t>
      </w:r>
      <w:r w:rsidR="00A81F9D" w:rsidRPr="00C25CD5">
        <w:rPr>
          <w:rFonts w:ascii="Calibri Light" w:eastAsia="Times New Roman" w:hAnsi="Calibri Light" w:cs="Calibri Light"/>
          <w:color w:val="404040" w:themeColor="text1" w:themeTint="BF"/>
          <w:sz w:val="23"/>
          <w:szCs w:val="23"/>
          <w:lang w:eastAsia="en-GB"/>
        </w:rPr>
        <w:t>whistle-blowers</w:t>
      </w:r>
    </w:p>
    <w:p w14:paraId="1F8D7A28"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p>
    <w:p w14:paraId="527AB019"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b/>
          <w:bCs/>
          <w:color w:val="404040" w:themeColor="text1" w:themeTint="BF"/>
          <w:sz w:val="23"/>
          <w:szCs w:val="23"/>
          <w:lang w:eastAsia="en-GB"/>
        </w:rPr>
        <w:t>Risk and Compliance</w:t>
      </w:r>
    </w:p>
    <w:p w14:paraId="47C2828D"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t>We recognise that construction is deemed to be a high risk sector for modern slavery and human trafficking and that risks exist in procurement processes (for works, services, goods and materials), recruitment practices and site management. Projects often include a large number of contractors, including lower skilled trades which increased the potential risk of labour exploitation.</w:t>
      </w:r>
    </w:p>
    <w:p w14:paraId="0C174267" w14:textId="11940E6D" w:rsid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t>We require that all those in our supply chain comply with our values. We enforce a strict code of compliance and do not tolerate slavery or human trafficking within our supply chains. None of our supply chain have identified any concerns about compliance with our anti-slavery policies in this financial year.</w:t>
      </w:r>
    </w:p>
    <w:p w14:paraId="77FA206B"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p>
    <w:p w14:paraId="735B2176"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b/>
          <w:bCs/>
          <w:color w:val="404040" w:themeColor="text1" w:themeTint="BF"/>
          <w:sz w:val="23"/>
          <w:szCs w:val="23"/>
          <w:lang w:eastAsia="en-GB"/>
        </w:rPr>
        <w:t>Training</w:t>
      </w:r>
    </w:p>
    <w:p w14:paraId="0A1FA6FA" w14:textId="1289D54A"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t xml:space="preserve">As a standard practice, </w:t>
      </w:r>
      <w:r w:rsidR="00E04DA1">
        <w:rPr>
          <w:rFonts w:ascii="Calibri Light" w:eastAsia="Times New Roman" w:hAnsi="Calibri Light" w:cs="Calibri Light"/>
          <w:color w:val="404040" w:themeColor="text1" w:themeTint="BF"/>
          <w:sz w:val="23"/>
          <w:szCs w:val="23"/>
          <w:lang w:eastAsia="en-GB"/>
        </w:rPr>
        <w:t>PTL Logistic Services Ltd</w:t>
      </w:r>
      <w:r w:rsidR="00B8570B" w:rsidRPr="00C25CD5">
        <w:rPr>
          <w:rFonts w:ascii="Calibri Light" w:eastAsia="Times New Roman" w:hAnsi="Calibri Light" w:cs="Calibri Light"/>
          <w:color w:val="404040" w:themeColor="text1" w:themeTint="BF"/>
          <w:sz w:val="23"/>
          <w:szCs w:val="23"/>
          <w:lang w:eastAsia="en-GB"/>
        </w:rPr>
        <w:t xml:space="preserve"> </w:t>
      </w:r>
      <w:r w:rsidRPr="00C25CD5">
        <w:rPr>
          <w:rFonts w:ascii="Calibri Light" w:eastAsia="Times New Roman" w:hAnsi="Calibri Light" w:cs="Calibri Light"/>
          <w:color w:val="404040" w:themeColor="text1" w:themeTint="BF"/>
          <w:sz w:val="23"/>
          <w:szCs w:val="23"/>
          <w:lang w:eastAsia="en-GB"/>
        </w:rPr>
        <w:t xml:space="preserve">recruitment consultants communicate with potential candidates on an entirely direct basis. We do not accept communicating through an intermediary. Not only does this prove a far more efficient method of identifying the ideal candidate in the timeliest of fashion, but it provides </w:t>
      </w:r>
      <w:r w:rsidR="00E04DA1">
        <w:rPr>
          <w:rFonts w:ascii="Calibri Light" w:eastAsia="Times New Roman" w:hAnsi="Calibri Light" w:cs="Calibri Light"/>
          <w:color w:val="404040" w:themeColor="text1" w:themeTint="BF"/>
          <w:sz w:val="23"/>
          <w:szCs w:val="23"/>
          <w:lang w:eastAsia="en-GB"/>
        </w:rPr>
        <w:t>PTL Logistic Services Ltd</w:t>
      </w:r>
      <w:r w:rsidR="00B8570B" w:rsidRPr="00C25CD5">
        <w:rPr>
          <w:rFonts w:ascii="Calibri Light" w:eastAsia="Times New Roman" w:hAnsi="Calibri Light" w:cs="Calibri Light"/>
          <w:color w:val="404040" w:themeColor="text1" w:themeTint="BF"/>
          <w:sz w:val="23"/>
          <w:szCs w:val="23"/>
          <w:lang w:eastAsia="en-GB"/>
        </w:rPr>
        <w:t xml:space="preserve"> </w:t>
      </w:r>
      <w:r w:rsidRPr="00C25CD5">
        <w:rPr>
          <w:rFonts w:ascii="Calibri Light" w:eastAsia="Times New Roman" w:hAnsi="Calibri Light" w:cs="Calibri Light"/>
          <w:color w:val="404040" w:themeColor="text1" w:themeTint="BF"/>
          <w:sz w:val="23"/>
          <w:szCs w:val="23"/>
          <w:lang w:eastAsia="en-GB"/>
        </w:rPr>
        <w:t xml:space="preserve">with crucial direct contact with the candidate, therefore giving additional comfort that </w:t>
      </w:r>
      <w:r w:rsidR="00E04DA1">
        <w:rPr>
          <w:rFonts w:ascii="Calibri Light" w:eastAsia="Times New Roman" w:hAnsi="Calibri Light" w:cs="Calibri Light"/>
          <w:color w:val="404040" w:themeColor="text1" w:themeTint="BF"/>
          <w:sz w:val="23"/>
          <w:szCs w:val="23"/>
          <w:lang w:eastAsia="en-GB"/>
        </w:rPr>
        <w:t>PTL Logistic Services Ltd</w:t>
      </w:r>
      <w:r w:rsidRPr="00C25CD5">
        <w:rPr>
          <w:rFonts w:ascii="Calibri Light" w:eastAsia="Times New Roman" w:hAnsi="Calibri Light" w:cs="Calibri Light"/>
          <w:color w:val="404040" w:themeColor="text1" w:themeTint="BF"/>
          <w:sz w:val="23"/>
          <w:szCs w:val="23"/>
          <w:lang w:eastAsia="en-GB"/>
        </w:rPr>
        <w:t xml:space="preserve"> has no exposure to the risk of modern slavery occurring in its supply chain.</w:t>
      </w:r>
    </w:p>
    <w:p w14:paraId="7B558914" w14:textId="51BAAB3F" w:rsid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t>We regularly conduct training for our sales teams so that they understand the signs of modern slavery and what to do if they suspect that it is taking place within our supply chain.</w:t>
      </w:r>
    </w:p>
    <w:p w14:paraId="01486BD4"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p>
    <w:p w14:paraId="1B78B051" w14:textId="77777777"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b/>
          <w:bCs/>
          <w:color w:val="404040" w:themeColor="text1" w:themeTint="BF"/>
          <w:sz w:val="23"/>
          <w:szCs w:val="23"/>
          <w:lang w:eastAsia="en-GB"/>
        </w:rPr>
        <w:t>Statement</w:t>
      </w:r>
    </w:p>
    <w:p w14:paraId="0010C435" w14:textId="582090D4" w:rsidR="00C25CD5" w:rsidRPr="00C25CD5" w:rsidRDefault="00C25CD5" w:rsidP="00C25CD5">
      <w:pPr>
        <w:spacing w:after="40"/>
        <w:rPr>
          <w:rFonts w:ascii="Calibri Light" w:eastAsia="Times New Roman" w:hAnsi="Calibri Light" w:cs="Calibri Light"/>
          <w:color w:val="404040" w:themeColor="text1" w:themeTint="BF"/>
          <w:sz w:val="23"/>
          <w:szCs w:val="23"/>
          <w:lang w:eastAsia="en-GB"/>
        </w:rPr>
      </w:pPr>
      <w:r w:rsidRPr="00C25CD5">
        <w:rPr>
          <w:rFonts w:ascii="Calibri Light" w:eastAsia="Times New Roman" w:hAnsi="Calibri Light" w:cs="Calibri Light"/>
          <w:color w:val="404040" w:themeColor="text1" w:themeTint="BF"/>
          <w:sz w:val="23"/>
          <w:szCs w:val="23"/>
          <w:lang w:eastAsia="en-GB"/>
        </w:rPr>
        <w:t>This statement is made pursuant to section 54(1) of the Modern Slavery Act 201</w:t>
      </w:r>
      <w:r w:rsidR="003707D6">
        <w:rPr>
          <w:rFonts w:ascii="Calibri Light" w:eastAsia="Times New Roman" w:hAnsi="Calibri Light" w:cs="Calibri Light"/>
          <w:color w:val="404040" w:themeColor="text1" w:themeTint="BF"/>
          <w:sz w:val="23"/>
          <w:szCs w:val="23"/>
          <w:lang w:eastAsia="en-GB"/>
        </w:rPr>
        <w:t xml:space="preserve">5 and constitutes </w:t>
      </w:r>
      <w:r w:rsidR="00E04DA1">
        <w:rPr>
          <w:rFonts w:ascii="Calibri Light" w:eastAsia="Times New Roman" w:hAnsi="Calibri Light" w:cs="Calibri Light"/>
          <w:color w:val="404040" w:themeColor="text1" w:themeTint="BF"/>
          <w:sz w:val="23"/>
          <w:szCs w:val="23"/>
          <w:lang w:eastAsia="en-GB"/>
        </w:rPr>
        <w:t>PTL Logistic Services Ltd</w:t>
      </w:r>
      <w:r w:rsidRPr="00C25CD5">
        <w:rPr>
          <w:rFonts w:ascii="Calibri Light" w:eastAsia="Times New Roman" w:hAnsi="Calibri Light" w:cs="Calibri Light"/>
          <w:color w:val="404040" w:themeColor="text1" w:themeTint="BF"/>
          <w:sz w:val="23"/>
          <w:szCs w:val="23"/>
          <w:lang w:eastAsia="en-GB"/>
        </w:rPr>
        <w:t xml:space="preserve"> slavery and human trafficking statement for the current financial year.</w:t>
      </w:r>
    </w:p>
    <w:p w14:paraId="142C27C0" w14:textId="4068D7CE" w:rsidR="00F94BA4" w:rsidRDefault="00F94BA4" w:rsidP="00C25CD5">
      <w:pPr>
        <w:widowControl w:val="0"/>
        <w:autoSpaceDE w:val="0"/>
        <w:spacing w:after="40"/>
        <w:ind w:left="-142" w:right="-307"/>
        <w:rPr>
          <w:rFonts w:ascii="Calibri Light" w:hAnsi="Calibri Light" w:cs="Calibri Light"/>
          <w:color w:val="404040"/>
          <w:sz w:val="23"/>
          <w:szCs w:val="23"/>
          <w:lang w:val="en-US"/>
        </w:rPr>
      </w:pPr>
    </w:p>
    <w:p w14:paraId="4406C183" w14:textId="142F5E29" w:rsidR="00D3540D" w:rsidRPr="00DE4928" w:rsidRDefault="00D3540D" w:rsidP="00460A37">
      <w:pPr>
        <w:widowControl w:val="0"/>
        <w:autoSpaceDE w:val="0"/>
        <w:spacing w:after="100"/>
        <w:ind w:left="-142" w:right="-307"/>
        <w:rPr>
          <w:rFonts w:ascii="Calibri Light" w:hAnsi="Calibri Light" w:cs="Calibri Light"/>
          <w:color w:val="404040"/>
          <w:sz w:val="23"/>
          <w:szCs w:val="23"/>
          <w:lang w:val="en-US"/>
        </w:rPr>
      </w:pPr>
      <w:r w:rsidRPr="00DE4928">
        <w:rPr>
          <w:rFonts w:ascii="Calibri Light" w:hAnsi="Calibri Light" w:cs="Calibri Light"/>
          <w:color w:val="404040"/>
          <w:sz w:val="23"/>
          <w:szCs w:val="23"/>
          <w:lang w:val="en-US"/>
        </w:rPr>
        <w:t>________________________________________________________________________________</w:t>
      </w:r>
    </w:p>
    <w:p w14:paraId="513AEF41" w14:textId="35AE99EE" w:rsidR="00EE6CCE" w:rsidRPr="0027326A" w:rsidRDefault="00EE6CCE" w:rsidP="00EE6CCE">
      <w:pPr>
        <w:tabs>
          <w:tab w:val="left" w:pos="-720"/>
          <w:tab w:val="left" w:pos="0"/>
          <w:tab w:val="left" w:pos="720"/>
          <w:tab w:val="left" w:pos="1440"/>
          <w:tab w:val="left" w:pos="2160"/>
          <w:tab w:val="left" w:pos="2880"/>
          <w:tab w:val="left" w:pos="3600"/>
          <w:tab w:val="left" w:pos="4320"/>
          <w:tab w:val="left" w:pos="5130"/>
        </w:tabs>
        <w:suppressAutoHyphens/>
        <w:rPr>
          <w:rFonts w:ascii="Calibri" w:hAnsi="Calibri" w:cs="Calibri"/>
          <w:color w:val="262626"/>
          <w:sz w:val="22"/>
          <w:lang w:val="en-US"/>
        </w:rPr>
      </w:pPr>
      <w:r w:rsidRPr="0027326A">
        <w:rPr>
          <w:rFonts w:ascii="Calibri" w:hAnsi="Calibri" w:cs="Calibri"/>
          <w:color w:val="262626"/>
          <w:sz w:val="22"/>
          <w:lang w:val="en-US"/>
        </w:rPr>
        <w:t>Dated:</w:t>
      </w:r>
      <w:r w:rsidRPr="0027326A">
        <w:rPr>
          <w:rFonts w:ascii="Calibri" w:hAnsi="Calibri" w:cs="Calibri"/>
          <w:color w:val="262626"/>
          <w:sz w:val="22"/>
          <w:lang w:val="en-US"/>
        </w:rPr>
        <w:tab/>
      </w:r>
      <w:r w:rsidRPr="0027326A">
        <w:rPr>
          <w:rFonts w:ascii="Calibri" w:hAnsi="Calibri" w:cs="Calibri"/>
          <w:color w:val="262626"/>
          <w:sz w:val="22"/>
          <w:lang w:val="en-US"/>
        </w:rPr>
        <w:tab/>
      </w:r>
      <w:r>
        <w:rPr>
          <w:rFonts w:ascii="Calibri" w:hAnsi="Calibri" w:cs="Calibri"/>
          <w:color w:val="262626"/>
          <w:sz w:val="22"/>
          <w:lang w:val="en-US"/>
        </w:rPr>
        <w:t>30</w:t>
      </w:r>
      <w:r w:rsidRPr="0027326A">
        <w:rPr>
          <w:rFonts w:ascii="Calibri" w:hAnsi="Calibri" w:cs="Calibri"/>
          <w:color w:val="262626"/>
          <w:sz w:val="22"/>
          <w:lang w:val="en-US"/>
        </w:rPr>
        <w:t xml:space="preserve"> </w:t>
      </w:r>
      <w:r>
        <w:rPr>
          <w:rFonts w:ascii="Calibri" w:hAnsi="Calibri" w:cs="Calibri"/>
          <w:color w:val="262626"/>
          <w:sz w:val="22"/>
          <w:lang w:val="en-US"/>
        </w:rPr>
        <w:t>April 202</w:t>
      </w:r>
      <w:r w:rsidR="00826297">
        <w:rPr>
          <w:rFonts w:ascii="Calibri" w:hAnsi="Calibri" w:cs="Calibri"/>
          <w:color w:val="262626"/>
          <w:sz w:val="22"/>
          <w:lang w:val="en-US"/>
        </w:rPr>
        <w:t>6</w:t>
      </w:r>
    </w:p>
    <w:p w14:paraId="5CF98187" w14:textId="60FA0C0F" w:rsidR="00EE6CCE" w:rsidRPr="0027326A" w:rsidRDefault="00EE6CCE" w:rsidP="00EE6CCE">
      <w:pPr>
        <w:tabs>
          <w:tab w:val="left" w:pos="-720"/>
          <w:tab w:val="left" w:pos="0"/>
          <w:tab w:val="left" w:pos="720"/>
          <w:tab w:val="left" w:pos="1440"/>
          <w:tab w:val="left" w:pos="2160"/>
          <w:tab w:val="left" w:pos="2880"/>
          <w:tab w:val="left" w:pos="3600"/>
          <w:tab w:val="left" w:pos="4320"/>
          <w:tab w:val="left" w:pos="5130"/>
        </w:tabs>
        <w:suppressAutoHyphens/>
        <w:rPr>
          <w:rFonts w:ascii="Calibri" w:hAnsi="Calibri" w:cs="Calibri"/>
          <w:color w:val="262626"/>
          <w:sz w:val="22"/>
          <w:lang w:val="en-US"/>
        </w:rPr>
      </w:pPr>
      <w:r w:rsidRPr="0027326A">
        <w:rPr>
          <w:rFonts w:ascii="Calibri" w:hAnsi="Calibri" w:cs="Calibri"/>
          <w:color w:val="262626"/>
          <w:sz w:val="22"/>
          <w:lang w:val="en-US"/>
        </w:rPr>
        <w:t>Review date:</w:t>
      </w:r>
      <w:r w:rsidRPr="0027326A">
        <w:rPr>
          <w:rFonts w:ascii="Calibri" w:hAnsi="Calibri" w:cs="Calibri"/>
          <w:color w:val="262626"/>
          <w:sz w:val="22"/>
          <w:lang w:val="en-US"/>
        </w:rPr>
        <w:tab/>
      </w:r>
      <w:r>
        <w:rPr>
          <w:rFonts w:ascii="Calibri" w:hAnsi="Calibri" w:cs="Calibri"/>
          <w:color w:val="262626"/>
          <w:sz w:val="22"/>
          <w:lang w:val="en-US"/>
        </w:rPr>
        <w:t>30</w:t>
      </w:r>
      <w:r w:rsidRPr="0027326A">
        <w:rPr>
          <w:rFonts w:ascii="Calibri" w:hAnsi="Calibri" w:cs="Calibri"/>
          <w:color w:val="262626"/>
          <w:sz w:val="22"/>
          <w:lang w:val="en-US"/>
        </w:rPr>
        <w:t xml:space="preserve"> </w:t>
      </w:r>
      <w:r>
        <w:rPr>
          <w:rFonts w:ascii="Calibri" w:hAnsi="Calibri" w:cs="Calibri"/>
          <w:color w:val="262626"/>
          <w:sz w:val="22"/>
          <w:lang w:val="en-US"/>
        </w:rPr>
        <w:t>April 202</w:t>
      </w:r>
      <w:r w:rsidR="00826297">
        <w:rPr>
          <w:rFonts w:ascii="Calibri" w:hAnsi="Calibri" w:cs="Calibri"/>
          <w:color w:val="262626"/>
          <w:sz w:val="22"/>
          <w:lang w:val="en-US"/>
        </w:rPr>
        <w:t>7</w:t>
      </w:r>
    </w:p>
    <w:p w14:paraId="6AEB0DFA" w14:textId="77777777" w:rsidR="00EE6CCE" w:rsidRPr="000D0363" w:rsidRDefault="00EE6CCE" w:rsidP="00EE6CCE">
      <w:pPr>
        <w:tabs>
          <w:tab w:val="left" w:pos="-720"/>
          <w:tab w:val="left" w:pos="0"/>
          <w:tab w:val="left" w:pos="720"/>
          <w:tab w:val="left" w:pos="1440"/>
          <w:tab w:val="left" w:pos="2160"/>
          <w:tab w:val="left" w:pos="2880"/>
          <w:tab w:val="left" w:pos="3600"/>
          <w:tab w:val="left" w:pos="4320"/>
          <w:tab w:val="left" w:pos="5130"/>
        </w:tabs>
        <w:suppressAutoHyphens/>
        <w:rPr>
          <w:rFonts w:ascii="Calibri" w:hAnsi="Calibri" w:cs="Calibri"/>
          <w:color w:val="262626"/>
          <w:sz w:val="22"/>
          <w:lang w:val="en-US"/>
        </w:rPr>
      </w:pPr>
    </w:p>
    <w:p w14:paraId="56842C46" w14:textId="77777777" w:rsidR="00EE6CCE" w:rsidRPr="000D0363" w:rsidRDefault="00EE6CCE" w:rsidP="00EE6CCE">
      <w:pPr>
        <w:tabs>
          <w:tab w:val="left" w:pos="-720"/>
          <w:tab w:val="left" w:pos="0"/>
          <w:tab w:val="left" w:pos="720"/>
          <w:tab w:val="left" w:pos="1440"/>
          <w:tab w:val="left" w:pos="2160"/>
          <w:tab w:val="left" w:pos="2880"/>
          <w:tab w:val="left" w:pos="3600"/>
          <w:tab w:val="left" w:pos="4320"/>
          <w:tab w:val="left" w:pos="5130"/>
        </w:tabs>
        <w:suppressAutoHyphens/>
        <w:rPr>
          <w:rFonts w:ascii="Calibri" w:hAnsi="Calibri" w:cs="Calibri"/>
          <w:color w:val="262626"/>
          <w:sz w:val="22"/>
        </w:rPr>
      </w:pPr>
      <w:r w:rsidRPr="000D0363">
        <w:rPr>
          <w:rFonts w:ascii="Calibri" w:hAnsi="Calibri" w:cs="Calibri"/>
          <w:color w:val="262626"/>
          <w:sz w:val="22"/>
        </w:rPr>
        <w:t xml:space="preserve">Signed: </w:t>
      </w:r>
      <w:r w:rsidRPr="000D0363">
        <w:rPr>
          <w:rFonts w:ascii="Calibri" w:hAnsi="Calibri" w:cs="Calibri"/>
          <w:color w:val="262626"/>
          <w:sz w:val="22"/>
        </w:rPr>
        <w:tab/>
      </w:r>
      <w:r w:rsidRPr="000D0363">
        <w:rPr>
          <w:rFonts w:ascii="Calibri" w:hAnsi="Calibri" w:cs="Calibri"/>
          <w:color w:val="262626"/>
          <w:sz w:val="22"/>
        </w:rPr>
        <w:tab/>
      </w:r>
      <w:r w:rsidRPr="000D0363">
        <w:rPr>
          <w:rFonts w:ascii="Calibri" w:hAnsi="Calibri" w:cs="Calibri"/>
          <w:color w:val="262626"/>
          <w:sz w:val="22"/>
        </w:rPr>
        <w:tab/>
      </w:r>
      <w:r w:rsidRPr="000D0363">
        <w:rPr>
          <w:rFonts w:ascii="Calibri" w:hAnsi="Calibri" w:cs="Calibri"/>
          <w:color w:val="262626"/>
          <w:sz w:val="22"/>
        </w:rPr>
        <w:tab/>
      </w:r>
      <w:r w:rsidRPr="000D0363">
        <w:rPr>
          <w:rFonts w:ascii="Calibri" w:hAnsi="Calibri" w:cs="Calibri"/>
          <w:color w:val="262626"/>
          <w:sz w:val="22"/>
        </w:rPr>
        <w:tab/>
      </w:r>
      <w:r w:rsidRPr="000D0363">
        <w:rPr>
          <w:rFonts w:ascii="Calibri" w:hAnsi="Calibri" w:cs="Calibri"/>
          <w:color w:val="262626"/>
          <w:sz w:val="22"/>
        </w:rPr>
        <w:tab/>
      </w:r>
    </w:p>
    <w:p w14:paraId="27A36E65" w14:textId="77777777" w:rsidR="00EE6CCE" w:rsidRPr="000D0363" w:rsidRDefault="00EE6CCE" w:rsidP="00EE6CCE">
      <w:pPr>
        <w:tabs>
          <w:tab w:val="left" w:pos="-720"/>
          <w:tab w:val="left" w:pos="0"/>
          <w:tab w:val="left" w:pos="720"/>
          <w:tab w:val="left" w:pos="1440"/>
          <w:tab w:val="left" w:pos="2160"/>
          <w:tab w:val="left" w:pos="2880"/>
          <w:tab w:val="left" w:pos="3600"/>
          <w:tab w:val="left" w:pos="4320"/>
          <w:tab w:val="left" w:pos="5130"/>
        </w:tabs>
        <w:suppressAutoHyphens/>
        <w:rPr>
          <w:rFonts w:ascii="Calibri" w:hAnsi="Calibri" w:cs="Calibri"/>
          <w:color w:val="262626"/>
          <w:sz w:val="22"/>
        </w:rPr>
      </w:pPr>
    </w:p>
    <w:p w14:paraId="43CEE0EC" w14:textId="77777777" w:rsidR="00EE6CCE" w:rsidRPr="000D0363" w:rsidRDefault="00EE6CCE" w:rsidP="00EE6CCE">
      <w:pPr>
        <w:tabs>
          <w:tab w:val="left" w:pos="-720"/>
          <w:tab w:val="left" w:pos="0"/>
          <w:tab w:val="left" w:pos="720"/>
          <w:tab w:val="left" w:pos="1440"/>
          <w:tab w:val="left" w:pos="2160"/>
          <w:tab w:val="left" w:pos="2880"/>
          <w:tab w:val="left" w:pos="3600"/>
          <w:tab w:val="left" w:pos="4320"/>
          <w:tab w:val="left" w:pos="5130"/>
        </w:tabs>
        <w:suppressAutoHyphens/>
        <w:rPr>
          <w:rFonts w:ascii="Calibri" w:hAnsi="Calibri" w:cs="Calibri"/>
          <w:color w:val="262626"/>
          <w:sz w:val="22"/>
        </w:rPr>
      </w:pPr>
      <w:r w:rsidRPr="00980C62">
        <w:rPr>
          <w:noProof/>
          <w:lang w:eastAsia="en-GB"/>
        </w:rPr>
        <w:drawing>
          <wp:inline distT="0" distB="0" distL="0" distR="0" wp14:anchorId="3D342D5A" wp14:editId="73AD9282">
            <wp:extent cx="914400" cy="638175"/>
            <wp:effectExtent l="0" t="0" r="0" b="9525"/>
            <wp:docPr id="1" name="Picture 1" descr="S:\00 Paramount Trades &amp; Labour Ltd\Jitka\PTLLS website\Darre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00 Paramount Trades &amp; Labour Ltd\Jitka\PTLLS website\Darren 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638175"/>
                    </a:xfrm>
                    <a:prstGeom prst="rect">
                      <a:avLst/>
                    </a:prstGeom>
                    <a:noFill/>
                    <a:ln>
                      <a:noFill/>
                    </a:ln>
                  </pic:spPr>
                </pic:pic>
              </a:graphicData>
            </a:graphic>
          </wp:inline>
        </w:drawing>
      </w:r>
    </w:p>
    <w:p w14:paraId="72979B78" w14:textId="77777777" w:rsidR="00EE6CCE" w:rsidRPr="000D0363" w:rsidRDefault="00EE6CCE" w:rsidP="00EE6CCE">
      <w:pPr>
        <w:rPr>
          <w:rFonts w:ascii="Calibri" w:hAnsi="Calibri" w:cs="Calibri"/>
          <w:color w:val="262626"/>
          <w:sz w:val="22"/>
        </w:rPr>
      </w:pPr>
      <w:r>
        <w:rPr>
          <w:rFonts w:ascii="Calibri" w:hAnsi="Calibri" w:cs="Calibri"/>
          <w:color w:val="262626"/>
          <w:sz w:val="22"/>
        </w:rPr>
        <w:t>Darren</w:t>
      </w:r>
      <w:r w:rsidRPr="000D0363">
        <w:rPr>
          <w:rFonts w:ascii="Calibri" w:hAnsi="Calibri" w:cs="Calibri"/>
          <w:color w:val="262626"/>
          <w:sz w:val="22"/>
        </w:rPr>
        <w:t xml:space="preserve"> Campbell</w:t>
      </w:r>
      <w:r w:rsidRPr="000D0363">
        <w:rPr>
          <w:rFonts w:ascii="Calibri" w:hAnsi="Calibri" w:cs="Calibri"/>
          <w:color w:val="262626"/>
          <w:sz w:val="22"/>
        </w:rPr>
        <w:tab/>
      </w:r>
      <w:r w:rsidRPr="000D0363">
        <w:rPr>
          <w:rFonts w:ascii="Calibri" w:hAnsi="Calibri" w:cs="Calibri"/>
          <w:color w:val="262626"/>
          <w:sz w:val="22"/>
        </w:rPr>
        <w:tab/>
      </w:r>
      <w:r w:rsidRPr="000D0363">
        <w:rPr>
          <w:rFonts w:ascii="Calibri" w:hAnsi="Calibri" w:cs="Calibri"/>
          <w:color w:val="262626"/>
          <w:sz w:val="22"/>
        </w:rPr>
        <w:tab/>
      </w:r>
      <w:r w:rsidRPr="000D0363">
        <w:rPr>
          <w:rFonts w:ascii="Calibri" w:hAnsi="Calibri" w:cs="Calibri"/>
          <w:color w:val="262626"/>
          <w:sz w:val="22"/>
        </w:rPr>
        <w:tab/>
      </w:r>
      <w:r w:rsidRPr="000D0363">
        <w:rPr>
          <w:rFonts w:ascii="Calibri" w:hAnsi="Calibri" w:cs="Calibri"/>
          <w:color w:val="262626"/>
          <w:sz w:val="22"/>
        </w:rPr>
        <w:tab/>
      </w:r>
      <w:r w:rsidRPr="000D0363">
        <w:rPr>
          <w:rFonts w:ascii="Calibri" w:hAnsi="Calibri" w:cs="Calibri"/>
          <w:color w:val="262626"/>
          <w:sz w:val="22"/>
        </w:rPr>
        <w:tab/>
      </w:r>
      <w:r w:rsidRPr="000D0363">
        <w:rPr>
          <w:rFonts w:ascii="Calibri" w:hAnsi="Calibri" w:cs="Calibri"/>
          <w:color w:val="262626"/>
          <w:sz w:val="22"/>
        </w:rPr>
        <w:tab/>
      </w:r>
      <w:r w:rsidRPr="000D0363">
        <w:rPr>
          <w:rFonts w:ascii="Calibri" w:hAnsi="Calibri" w:cs="Calibri"/>
          <w:color w:val="262626"/>
          <w:sz w:val="22"/>
        </w:rPr>
        <w:br/>
      </w:r>
      <w:r w:rsidRPr="000D0363">
        <w:rPr>
          <w:rFonts w:ascii="Calibri" w:hAnsi="Calibri" w:cs="Calibri"/>
          <w:iCs/>
          <w:color w:val="262626"/>
          <w:sz w:val="22"/>
        </w:rPr>
        <w:t>Managing Director</w:t>
      </w:r>
    </w:p>
    <w:p w14:paraId="0394F3C8" w14:textId="77777777" w:rsidR="00D3540D" w:rsidRPr="000D0363" w:rsidRDefault="00D3540D" w:rsidP="00D3540D">
      <w:pPr>
        <w:rPr>
          <w:rFonts w:ascii="Calibri Light" w:hAnsi="Calibri Light" w:cs="Calibri Light"/>
          <w:color w:val="404040"/>
          <w:sz w:val="22"/>
        </w:rPr>
      </w:pPr>
    </w:p>
    <w:sectPr w:rsidR="00D3540D" w:rsidRPr="000D0363" w:rsidSect="00694DC6">
      <w:pgSz w:w="11906" w:h="16838"/>
      <w:pgMar w:top="709"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82D2" w14:textId="77777777" w:rsidR="00AA4C6D" w:rsidRDefault="00AA4C6D" w:rsidP="001B28B3">
      <w:r>
        <w:separator/>
      </w:r>
    </w:p>
  </w:endnote>
  <w:endnote w:type="continuationSeparator" w:id="0">
    <w:p w14:paraId="5A975D46" w14:textId="77777777" w:rsidR="00AA4C6D" w:rsidRDefault="00AA4C6D" w:rsidP="001B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7FF5" w14:textId="77777777" w:rsidR="00AA4C6D" w:rsidRDefault="00AA4C6D" w:rsidP="001B28B3">
      <w:r>
        <w:separator/>
      </w:r>
    </w:p>
  </w:footnote>
  <w:footnote w:type="continuationSeparator" w:id="0">
    <w:p w14:paraId="19217335" w14:textId="77777777" w:rsidR="00AA4C6D" w:rsidRDefault="00AA4C6D" w:rsidP="001B2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57407"/>
    <w:multiLevelType w:val="multilevel"/>
    <w:tmpl w:val="E2C8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2"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93B4B"/>
    <w:multiLevelType w:val="hybridMultilevel"/>
    <w:tmpl w:val="E932B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B07B5"/>
    <w:multiLevelType w:val="multilevel"/>
    <w:tmpl w:val="9DB6C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0F2DB2"/>
    <w:multiLevelType w:val="hybridMultilevel"/>
    <w:tmpl w:val="84FE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11738"/>
    <w:multiLevelType w:val="hybridMultilevel"/>
    <w:tmpl w:val="F1AE26E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6541630"/>
    <w:multiLevelType w:val="hybridMultilevel"/>
    <w:tmpl w:val="DCFC5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8229D0"/>
    <w:multiLevelType w:val="hybridMultilevel"/>
    <w:tmpl w:val="7B62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8504C2"/>
    <w:multiLevelType w:val="hybridMultilevel"/>
    <w:tmpl w:val="52B8D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887846"/>
    <w:multiLevelType w:val="hybridMultilevel"/>
    <w:tmpl w:val="B658C7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5081161">
    <w:abstractNumId w:val="11"/>
  </w:num>
  <w:num w:numId="2" w16cid:durableId="1644457445">
    <w:abstractNumId w:val="12"/>
  </w:num>
  <w:num w:numId="3" w16cid:durableId="249781214">
    <w:abstractNumId w:val="13"/>
  </w:num>
  <w:num w:numId="4" w16cid:durableId="180094174">
    <w:abstractNumId w:val="9"/>
  </w:num>
  <w:num w:numId="5" w16cid:durableId="146632585">
    <w:abstractNumId w:val="8"/>
  </w:num>
  <w:num w:numId="6" w16cid:durableId="990017696">
    <w:abstractNumId w:val="7"/>
  </w:num>
  <w:num w:numId="7" w16cid:durableId="96680602">
    <w:abstractNumId w:val="6"/>
  </w:num>
  <w:num w:numId="8" w16cid:durableId="530580726">
    <w:abstractNumId w:val="5"/>
  </w:num>
  <w:num w:numId="9" w16cid:durableId="1055280883">
    <w:abstractNumId w:val="4"/>
  </w:num>
  <w:num w:numId="10" w16cid:durableId="1842500027">
    <w:abstractNumId w:val="3"/>
  </w:num>
  <w:num w:numId="11" w16cid:durableId="1469933447">
    <w:abstractNumId w:val="2"/>
  </w:num>
  <w:num w:numId="12" w16cid:durableId="129595109">
    <w:abstractNumId w:val="1"/>
  </w:num>
  <w:num w:numId="13" w16cid:durableId="1214000706">
    <w:abstractNumId w:val="0"/>
  </w:num>
  <w:num w:numId="14" w16cid:durableId="89739113">
    <w:abstractNumId w:val="21"/>
  </w:num>
  <w:num w:numId="15" w16cid:durableId="1813668038">
    <w:abstractNumId w:val="16"/>
  </w:num>
  <w:num w:numId="16" w16cid:durableId="1195852700">
    <w:abstractNumId w:val="22"/>
  </w:num>
  <w:num w:numId="17" w16cid:durableId="9133165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791793">
    <w:abstractNumId w:val="20"/>
  </w:num>
  <w:num w:numId="19" w16cid:durableId="1326713357">
    <w:abstractNumId w:val="23"/>
  </w:num>
  <w:num w:numId="20" w16cid:durableId="237063072">
    <w:abstractNumId w:val="19"/>
  </w:num>
  <w:num w:numId="21" w16cid:durableId="85150267">
    <w:abstractNumId w:val="14"/>
  </w:num>
  <w:num w:numId="22" w16cid:durableId="6412343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0936617">
    <w:abstractNumId w:val="17"/>
  </w:num>
  <w:num w:numId="24" w16cid:durableId="734207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DE"/>
    <w:rsid w:val="000A3977"/>
    <w:rsid w:val="000B2E7C"/>
    <w:rsid w:val="000C5C9F"/>
    <w:rsid w:val="000D0363"/>
    <w:rsid w:val="000D6F92"/>
    <w:rsid w:val="0012280C"/>
    <w:rsid w:val="001B28B3"/>
    <w:rsid w:val="001E3C44"/>
    <w:rsid w:val="00205A07"/>
    <w:rsid w:val="0021677C"/>
    <w:rsid w:val="002216ED"/>
    <w:rsid w:val="003707D6"/>
    <w:rsid w:val="00460A37"/>
    <w:rsid w:val="00494BEA"/>
    <w:rsid w:val="0053598D"/>
    <w:rsid w:val="006178C8"/>
    <w:rsid w:val="00694DC6"/>
    <w:rsid w:val="006F75DE"/>
    <w:rsid w:val="007908D9"/>
    <w:rsid w:val="007D375F"/>
    <w:rsid w:val="00826297"/>
    <w:rsid w:val="00853592"/>
    <w:rsid w:val="008B05F2"/>
    <w:rsid w:val="00995A83"/>
    <w:rsid w:val="009C4711"/>
    <w:rsid w:val="009F7F85"/>
    <w:rsid w:val="00A40B40"/>
    <w:rsid w:val="00A77EC7"/>
    <w:rsid w:val="00A81F9D"/>
    <w:rsid w:val="00AA4C6D"/>
    <w:rsid w:val="00B07267"/>
    <w:rsid w:val="00B2607E"/>
    <w:rsid w:val="00B8570B"/>
    <w:rsid w:val="00C25CD5"/>
    <w:rsid w:val="00D039B3"/>
    <w:rsid w:val="00D3540D"/>
    <w:rsid w:val="00D44C32"/>
    <w:rsid w:val="00D50668"/>
    <w:rsid w:val="00DC4630"/>
    <w:rsid w:val="00DE4928"/>
    <w:rsid w:val="00E04DA1"/>
    <w:rsid w:val="00E051C6"/>
    <w:rsid w:val="00E73C61"/>
    <w:rsid w:val="00EB5306"/>
    <w:rsid w:val="00EE6CCE"/>
    <w:rsid w:val="00F0634E"/>
    <w:rsid w:val="00F94BA4"/>
    <w:rsid w:val="00FD368E"/>
    <w:rsid w:val="00FE7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8C22E"/>
  <w15:docId w15:val="{40546A63-DBD9-4FB1-91D0-7518CF9B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styleId="ListParagraph">
    <w:name w:val="List Paragraph"/>
    <w:basedOn w:val="Normal"/>
    <w:uiPriority w:val="34"/>
    <w:qFormat/>
    <w:rsid w:val="00E0055A"/>
    <w:pPr>
      <w:ind w:left="720"/>
    </w:pPr>
  </w:style>
  <w:style w:type="character" w:styleId="Hyperlink">
    <w:name w:val="Hyperlink"/>
    <w:rsid w:val="00DC4630"/>
    <w:rPr>
      <w:color w:val="0000FF"/>
      <w:u w:val="single"/>
    </w:rPr>
  </w:style>
  <w:style w:type="table" w:styleId="TableGrid">
    <w:name w:val="Table Grid"/>
    <w:basedOn w:val="TableNormal"/>
    <w:uiPriority w:val="59"/>
    <w:rsid w:val="00F06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0634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F0634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F0634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F0634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C25CD5"/>
    <w:pPr>
      <w:spacing w:before="100" w:beforeAutospacing="1" w:after="100" w:afterAutospacing="1"/>
    </w:pPr>
    <w:rPr>
      <w:rFonts w:ascii="Times New Roman" w:eastAsia="Times New Roman" w:hAnsi="Times New Roman"/>
      <w:szCs w:val="24"/>
      <w:lang w:eastAsia="en-GB"/>
    </w:rPr>
  </w:style>
  <w:style w:type="character" w:styleId="Strong">
    <w:name w:val="Strong"/>
    <w:uiPriority w:val="22"/>
    <w:qFormat/>
    <w:rsid w:val="00C25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3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HR-inform template</Template>
  <TotalTime>18</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4687</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cp:lastModifiedBy>Jitka Jemelkova</cp:lastModifiedBy>
  <cp:revision>11</cp:revision>
  <dcterms:created xsi:type="dcterms:W3CDTF">2021-12-17T11:12:00Z</dcterms:created>
  <dcterms:modified xsi:type="dcterms:W3CDTF">2026-04-30T13:24:00Z</dcterms:modified>
</cp:coreProperties>
</file>